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251C" w:rsidRPr="00532D45" w:rsidRDefault="009B15C0" w:rsidP="002C251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EB5C8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6A13" wp14:editId="2C471593">
                <wp:simplePos x="0" y="0"/>
                <wp:positionH relativeFrom="column">
                  <wp:posOffset>-586195</wp:posOffset>
                </wp:positionH>
                <wp:positionV relativeFrom="paragraph">
                  <wp:posOffset>-846999</wp:posOffset>
                </wp:positionV>
                <wp:extent cx="4725619" cy="83715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19" cy="8371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5C0" w:rsidRPr="009B15C0" w:rsidRDefault="00A258EB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95D2"/>
                                <w:kern w:val="24"/>
                                <w:sz w:val="40"/>
                                <w:szCs w:val="48"/>
                              </w:rPr>
                              <w:t>Mental Health &amp; Cities Summit</w:t>
                            </w:r>
                          </w:p>
                          <w:p w:rsidR="009B15C0" w:rsidRPr="009B15C0" w:rsidRDefault="00C24818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 xml:space="preserve">Breakout Sessions </w:t>
                            </w:r>
                            <w:r w:rsidR="00A258EB"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>Facilitation Frame - April 9,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6A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6.15pt;margin-top:-66.7pt;width:372.1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" filled="f" stroked="f">
                <v:textbox style="mso-fit-shape-to-text:t">
                  <w:txbxContent>
                    <w:p w:rsidR="009B15C0" w:rsidRPr="009B15C0" w:rsidRDefault="00A258EB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95D2"/>
                          <w:kern w:val="24"/>
                          <w:sz w:val="40"/>
                          <w:szCs w:val="48"/>
                        </w:rPr>
                        <w:t>Mental Health &amp; Cities Summit</w:t>
                      </w:r>
                    </w:p>
                    <w:p w:rsidR="009B15C0" w:rsidRPr="009B15C0" w:rsidRDefault="00C24818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 xml:space="preserve">Breakout Sessions </w:t>
                      </w:r>
                      <w:r w:rsidR="00A258EB"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>Facilitation Frame - April 9, 2018</w:t>
                      </w:r>
                    </w:p>
                  </w:txbxContent>
                </v:textbox>
              </v:shape>
            </w:pict>
          </mc:Fallback>
        </mc:AlternateContent>
      </w:r>
      <w:r w:rsidR="00BC0C79" w:rsidRPr="00EB5C84">
        <w:rPr>
          <w:b/>
        </w:rPr>
        <w:t xml:space="preserve">Group discussion:  </w:t>
      </w:r>
      <w:r w:rsidR="00532D45">
        <w:rPr>
          <w:rFonts w:eastAsia="Times New Roman"/>
          <w:color w:val="666666"/>
        </w:rPr>
        <w:t>Campus Mental Health: Emerging Crisis 101</w:t>
      </w:r>
    </w:p>
    <w:p w:rsidR="00FB02E7" w:rsidRDefault="00BC0C79" w:rsidP="003A5746">
      <w:pPr>
        <w:spacing w:after="0" w:line="240" w:lineRule="auto"/>
      </w:pPr>
      <w:r>
        <w:t xml:space="preserve">Scribe: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9216"/>
      </w:tblGrid>
      <w:tr w:rsidR="0069654F" w:rsidTr="002E3F9E">
        <w:trPr>
          <w:tblHeader/>
        </w:trPr>
        <w:tc>
          <w:tcPr>
            <w:tcW w:w="4392" w:type="dxa"/>
            <w:shd w:val="clear" w:color="auto" w:fill="B8CCE4" w:themeFill="accent1" w:themeFillTint="66"/>
          </w:tcPr>
          <w:p w:rsidR="0069654F" w:rsidRPr="00B14518" w:rsidRDefault="00B14518">
            <w:pPr>
              <w:rPr>
                <w:b/>
                <w:color w:val="FFFFFF" w:themeColor="background1"/>
                <w:sz w:val="24"/>
              </w:rPr>
            </w:pPr>
            <w:r w:rsidRPr="00B14518">
              <w:rPr>
                <w:b/>
                <w:color w:val="FFFFFF" w:themeColor="background1"/>
                <w:sz w:val="24"/>
              </w:rPr>
              <w:t xml:space="preserve">Discussion Stage </w:t>
            </w:r>
          </w:p>
          <w:p w:rsidR="00B14518" w:rsidRPr="00B14518" w:rsidRDefault="00B1451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6" w:type="dxa"/>
            <w:shd w:val="clear" w:color="auto" w:fill="B8CCE4" w:themeFill="accent1" w:themeFillTint="66"/>
          </w:tcPr>
          <w:p w:rsidR="0069654F" w:rsidRPr="00B14518" w:rsidRDefault="0080217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Session Outputs/Notes</w:t>
            </w:r>
          </w:p>
        </w:tc>
      </w:tr>
      <w:tr w:rsidR="0069654F" w:rsidTr="00130442">
        <w:tc>
          <w:tcPr>
            <w:tcW w:w="4392" w:type="dxa"/>
          </w:tcPr>
          <w:p w:rsidR="0069654F" w:rsidRPr="0069654F" w:rsidRDefault="0069654F" w:rsidP="0069654F">
            <w:pPr>
              <w:rPr>
                <w:rFonts w:cs="Times New Roman"/>
                <w:b/>
              </w:rPr>
            </w:pPr>
            <w:r w:rsidRPr="0069654F">
              <w:rPr>
                <w:rFonts w:cs="Times New Roman"/>
                <w:b/>
              </w:rPr>
              <w:t>Defining the problem</w:t>
            </w:r>
          </w:p>
          <w:p w:rsidR="0069654F" w:rsidRPr="00130442" w:rsidRDefault="00C43066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1-</w:t>
            </w:r>
            <w:r w:rsidR="00293919">
              <w:rPr>
                <w:rFonts w:cs="Times New Roman"/>
                <w:i/>
                <w:sz w:val="20"/>
              </w:rPr>
              <w:t>3</w:t>
            </w:r>
            <w:r w:rsidR="0069654F" w:rsidRPr="00130442">
              <w:rPr>
                <w:rFonts w:cs="Times New Roman"/>
                <w:i/>
                <w:sz w:val="20"/>
              </w:rPr>
              <w:t xml:space="preserve"> salient issues that most need to be addressed </w:t>
            </w:r>
          </w:p>
          <w:p w:rsidR="0069654F" w:rsidRDefault="0069654F"/>
        </w:tc>
        <w:tc>
          <w:tcPr>
            <w:tcW w:w="9216" w:type="dxa"/>
          </w:tcPr>
          <w:p w:rsidR="0069654F" w:rsidRDefault="007B42D5">
            <w:r>
              <w:t xml:space="preserve">Assessment – Cannot be done within the institution, expensive and long wait lists.  Lots can happen while someone is on a wait list including getting worse. </w:t>
            </w:r>
          </w:p>
          <w:p w:rsidR="00997D61" w:rsidRDefault="00997D61"/>
          <w:p w:rsidR="004B43BE" w:rsidRDefault="007B5C18">
            <w:r>
              <w:t>There needs to be movement towards digital mental health- ho</w:t>
            </w:r>
            <w:r w:rsidR="004B43BE">
              <w:t>wever the barrier is not students but service providers- f</w:t>
            </w:r>
            <w:r w:rsidR="00997D61">
              <w:t xml:space="preserve">ront line service providers need to get comfortable with </w:t>
            </w:r>
            <w:r w:rsidR="00EB6280">
              <w:t>digital</w:t>
            </w:r>
            <w:r w:rsidR="00997D61">
              <w:t xml:space="preserve"> service provision and solution</w:t>
            </w:r>
            <w:r w:rsidR="00EB6280">
              <w:t xml:space="preserve">.  </w:t>
            </w:r>
          </w:p>
          <w:p w:rsidR="004B43BE" w:rsidRDefault="004B43BE"/>
          <w:p w:rsidR="002E3F9E" w:rsidRDefault="00EB6280">
            <w:r>
              <w:t>Further, body language etc</w:t>
            </w:r>
            <w:r w:rsidR="00321406">
              <w:t>.</w:t>
            </w:r>
            <w:r>
              <w:t xml:space="preserve"> can't be captured in digital solutions.  </w:t>
            </w:r>
          </w:p>
          <w:p w:rsidR="00997D61" w:rsidRDefault="00997D61"/>
          <w:p w:rsidR="002E3F9E" w:rsidRDefault="00623256">
            <w:r>
              <w:t>School based psychology</w:t>
            </w:r>
            <w:r w:rsidR="00321406">
              <w:t xml:space="preserve"> (services)</w:t>
            </w:r>
            <w:r>
              <w:t xml:space="preserve"> can't provide all the diagnosis we want. </w:t>
            </w:r>
          </w:p>
          <w:p w:rsidR="002E3F9E" w:rsidRDefault="002E3F9E"/>
          <w:p w:rsidR="002E3F9E" w:rsidRDefault="0025500F">
            <w:r>
              <w:t>Jurisdictional</w:t>
            </w:r>
            <w:r w:rsidR="00623256">
              <w:t xml:space="preserve"> – unable to help if the student isn't their student.  If the student drops out then it can't be picked up by the school. </w:t>
            </w:r>
          </w:p>
          <w:p w:rsidR="00AF35FD" w:rsidRDefault="00AF35FD"/>
          <w:p w:rsidR="00AF35FD" w:rsidRDefault="00AF35FD">
            <w:r>
              <w:t>The "problem" is that the it's multi-faceted:</w:t>
            </w:r>
          </w:p>
          <w:p w:rsidR="00AF35FD" w:rsidRDefault="00AF35FD" w:rsidP="00AF35FD">
            <w:pPr>
              <w:pStyle w:val="ListParagraph"/>
              <w:numPr>
                <w:ilvl w:val="0"/>
                <w:numId w:val="4"/>
              </w:numPr>
            </w:pPr>
            <w:r>
              <w:t>Brain is still developing</w:t>
            </w:r>
          </w:p>
          <w:p w:rsidR="00AF35FD" w:rsidRDefault="00AF35FD" w:rsidP="00AF35FD">
            <w:pPr>
              <w:pStyle w:val="ListParagraph"/>
              <w:numPr>
                <w:ilvl w:val="0"/>
                <w:numId w:val="4"/>
              </w:numPr>
            </w:pPr>
            <w:r>
              <w:t>Students are away from home for the first time</w:t>
            </w:r>
          </w:p>
          <w:p w:rsidR="00AF35FD" w:rsidRDefault="00AF35FD" w:rsidP="00AF35FD">
            <w:pPr>
              <w:pStyle w:val="ListParagraph"/>
              <w:numPr>
                <w:ilvl w:val="0"/>
                <w:numId w:val="4"/>
              </w:numPr>
            </w:pPr>
            <w:r>
              <w:t>This cohort is different than generations prior (it needs "different" solutions)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69654F" w:rsidRPr="0069654F" w:rsidRDefault="00BB2991" w:rsidP="006965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69654F" w:rsidRPr="0069654F">
              <w:rPr>
                <w:rFonts w:cs="Times New Roman"/>
                <w:b/>
              </w:rPr>
              <w:t>hat’s worked, what’s promising? What might we consider?</w:t>
            </w:r>
          </w:p>
          <w:p w:rsidR="00925843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 xml:space="preserve">Outline some innovations you’re aware of that show promise in addressing the issues outlined.  </w:t>
            </w:r>
          </w:p>
          <w:p w:rsidR="0069654F" w:rsidRPr="00130442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>They can be solutions that have been widely or narrowly tested, or ones that have compelling evidence behind them – the</w:t>
            </w:r>
            <w:r w:rsidR="00925843">
              <w:rPr>
                <w:i/>
                <w:sz w:val="20"/>
              </w:rPr>
              <w:t xml:space="preserve"> key is items that show promise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7B42D5">
            <w:r>
              <w:t xml:space="preserve">-Ensure that private / social service sector is partnering with educational institutions in order to streamline service provision and education. </w:t>
            </w:r>
          </w:p>
          <w:p w:rsidR="007B42D5" w:rsidRDefault="007B42D5"/>
          <w:p w:rsidR="002E3F9E" w:rsidRDefault="007B42D5">
            <w:r>
              <w:t>-Ryerson partners with LOFT for their m</w:t>
            </w:r>
            <w:r w:rsidR="00AE43ED">
              <w:t xml:space="preserve">ore complex mental health needs.  This provides more comprehensive support for these complex cases and frees up other counsellors to help the students with less complex needs. </w:t>
            </w:r>
          </w:p>
          <w:p w:rsidR="00EB5C84" w:rsidRDefault="00EB5C84"/>
          <w:p w:rsidR="00EB5C84" w:rsidRDefault="00AE43ED">
            <w:r>
              <w:t xml:space="preserve">-Digital solutions (availability, cost effectiveness and general effectiveness) </w:t>
            </w:r>
          </w:p>
          <w:p w:rsidR="00EB5C84" w:rsidRDefault="00EB5C84"/>
          <w:p w:rsidR="00EB5C84" w:rsidRDefault="00997D61">
            <w:r>
              <w:t>-Ontario Telehealth has digital solutions</w:t>
            </w:r>
          </w:p>
          <w:p w:rsidR="00997D61" w:rsidRDefault="00997D61"/>
          <w:p w:rsidR="00997D61" w:rsidRDefault="00997D61">
            <w:r>
              <w:t xml:space="preserve">-Peer to Peer digital solutions as well. </w:t>
            </w:r>
          </w:p>
          <w:p w:rsidR="002E3F9E" w:rsidRDefault="002E3F9E"/>
          <w:p w:rsidR="0025500F" w:rsidRDefault="0025500F">
            <w:r>
              <w:t xml:space="preserve">TCDSB has a partnership with CTYS.  Complex cases are referred there.  Arrange day treatment etc.  Better treatment options.  </w:t>
            </w:r>
            <w:r w:rsidR="005A27E4">
              <w:t>Better Triage.  They take 2 cases a month but it would be great if they could take 12.</w:t>
            </w:r>
          </w:p>
          <w:p w:rsidR="002E3F9E" w:rsidRDefault="002E3F9E"/>
          <w:p w:rsidR="002C3E2F" w:rsidRDefault="002C3E2F">
            <w:r>
              <w:t>Mental Wellness &amp; Resiliency Solutions:  CBT-related workshops, mindfulness training, selfcare, peer support networks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lastRenderedPageBreak/>
              <w:t>Solution work</w:t>
            </w:r>
            <w:r w:rsidR="00FD2C5D">
              <w:rPr>
                <w:rFonts w:cs="Times New Roman"/>
                <w:b/>
              </w:rPr>
              <w:t xml:space="preserve"> – how do we move forward?</w:t>
            </w:r>
          </w:p>
          <w:p w:rsidR="00130442" w:rsidRPr="00130442" w:rsidRDefault="003F6174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3-5</w:t>
            </w:r>
            <w:r w:rsidR="00130442" w:rsidRPr="00130442">
              <w:rPr>
                <w:rFonts w:cs="Times New Roman"/>
                <w:i/>
                <w:sz w:val="20"/>
              </w:rPr>
              <w:t xml:space="preserve"> </w:t>
            </w:r>
            <w:r w:rsidR="00E53CDB">
              <w:rPr>
                <w:rFonts w:cs="Times New Roman"/>
                <w:i/>
                <w:sz w:val="20"/>
              </w:rPr>
              <w:t xml:space="preserve">key learnings or </w:t>
            </w:r>
            <w:r w:rsidR="00A05034">
              <w:rPr>
                <w:rFonts w:cs="Times New Roman"/>
                <w:i/>
                <w:sz w:val="20"/>
              </w:rPr>
              <w:t xml:space="preserve"> </w:t>
            </w:r>
            <w:r w:rsidR="00130442" w:rsidRPr="00130442">
              <w:rPr>
                <w:rFonts w:cs="Times New Roman"/>
                <w:i/>
                <w:sz w:val="20"/>
              </w:rPr>
              <w:t>practical solutions</w:t>
            </w:r>
            <w:r>
              <w:rPr>
                <w:rFonts w:cs="Times New Roman"/>
                <w:i/>
                <w:sz w:val="20"/>
              </w:rPr>
              <w:t xml:space="preserve"> or considerations for </w:t>
            </w:r>
            <w:r w:rsidR="00C804D5">
              <w:rPr>
                <w:rFonts w:cs="Times New Roman"/>
                <w:i/>
                <w:sz w:val="20"/>
              </w:rPr>
              <w:t>Toronto/</w:t>
            </w:r>
            <w:r w:rsidR="006D1194">
              <w:rPr>
                <w:rFonts w:cs="Times New Roman"/>
                <w:i/>
                <w:sz w:val="20"/>
              </w:rPr>
              <w:t xml:space="preserve">the </w:t>
            </w:r>
            <w:r>
              <w:rPr>
                <w:rFonts w:cs="Times New Roman"/>
                <w:i/>
                <w:sz w:val="20"/>
              </w:rPr>
              <w:t>GTA</w:t>
            </w:r>
            <w:r w:rsidR="00C804D5">
              <w:rPr>
                <w:rFonts w:cs="Times New Roman"/>
                <w:i/>
                <w:sz w:val="20"/>
              </w:rPr>
              <w:t xml:space="preserve"> and other municipalities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997D61">
            <w:r>
              <w:t>Explore digital options</w:t>
            </w:r>
            <w:r w:rsidR="00EB6280">
              <w:t xml:space="preserve"> (especially for waitlist clients)</w:t>
            </w:r>
          </w:p>
          <w:p w:rsidR="00997D61" w:rsidRDefault="00997D61"/>
          <w:p w:rsidR="00997D61" w:rsidRDefault="00997D61">
            <w:r>
              <w:t>Collaboration with private sector / social service sector</w:t>
            </w:r>
          </w:p>
          <w:p w:rsidR="00997D61" w:rsidRDefault="00997D61"/>
          <w:p w:rsidR="00997D61" w:rsidRDefault="00AC78BD">
            <w:r>
              <w:t xml:space="preserve">More robust </w:t>
            </w:r>
            <w:r w:rsidR="00EB6280">
              <w:t xml:space="preserve">triaging </w:t>
            </w:r>
            <w:r>
              <w:t>and intake</w:t>
            </w:r>
            <w:r w:rsidR="00EB6280">
              <w:t xml:space="preserve"> to diminish waitlists, screen for appropriate interventions. </w:t>
            </w:r>
          </w:p>
          <w:p w:rsidR="002C3E2F" w:rsidRDefault="002C3E2F"/>
          <w:p w:rsidR="002C3E2F" w:rsidRDefault="002C3E2F">
            <w:r>
              <w:t xml:space="preserve">Involve students with the development and operationalization of </w:t>
            </w:r>
            <w:r w:rsidR="00FE5E3B">
              <w:t>solutions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t>Into Action</w:t>
            </w:r>
            <w:r w:rsidR="008674BE" w:rsidRPr="008674BE">
              <w:rPr>
                <w:rFonts w:cs="Times New Roman"/>
              </w:rPr>
              <w:t xml:space="preserve"> </w:t>
            </w:r>
            <w:r w:rsidR="008674BE" w:rsidRPr="00D369A2">
              <w:rPr>
                <w:rFonts w:cs="Times New Roman"/>
                <w:i/>
                <w:sz w:val="18"/>
              </w:rPr>
              <w:t>(bonus round!)</w:t>
            </w:r>
          </w:p>
          <w:p w:rsidR="0069654F" w:rsidRPr="00B943CF" w:rsidRDefault="00130442" w:rsidP="00B943CF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What concrete st</w:t>
            </w:r>
            <w:r w:rsidR="00D369A2">
              <w:rPr>
                <w:rFonts w:cs="Times New Roman"/>
                <w:i/>
                <w:sz w:val="20"/>
              </w:rPr>
              <w:t>eps would be needed to move</w:t>
            </w:r>
            <w:r w:rsidRPr="00130442">
              <w:rPr>
                <w:rFonts w:cs="Times New Roman"/>
                <w:i/>
                <w:sz w:val="20"/>
              </w:rPr>
              <w:t xml:space="preserve"> forward</w:t>
            </w:r>
            <w:r w:rsidR="00D369A2">
              <w:rPr>
                <w:rFonts w:cs="Times New Roman"/>
                <w:i/>
                <w:sz w:val="20"/>
              </w:rPr>
              <w:t xml:space="preserve"> in Toronto/the GTA</w:t>
            </w:r>
            <w:r w:rsidR="00C804D5">
              <w:rPr>
                <w:rFonts w:cs="Times New Roman"/>
                <w:i/>
                <w:sz w:val="20"/>
              </w:rPr>
              <w:t xml:space="preserve"> and could be scaled to other municipalities</w:t>
            </w:r>
            <w:r w:rsidRPr="00130442">
              <w:rPr>
                <w:rFonts w:cs="Times New Roman"/>
                <w:i/>
                <w:sz w:val="20"/>
              </w:rPr>
              <w:t>?</w:t>
            </w:r>
          </w:p>
        </w:tc>
        <w:tc>
          <w:tcPr>
            <w:tcW w:w="9216" w:type="dxa"/>
          </w:tcPr>
          <w:p w:rsidR="002E3F9E" w:rsidRDefault="00EB6280">
            <w:r>
              <w:t xml:space="preserve">-strengthening intake in order to better triage clients to appropriate </w:t>
            </w:r>
            <w:r w:rsidR="00623256">
              <w:t>services.  Ryerson got funding for 2 FTE counsellors and hired 2 intake counsellors.</w:t>
            </w:r>
          </w:p>
          <w:p w:rsidR="00FE5E3B" w:rsidRDefault="00FE5E3B"/>
          <w:p w:rsidR="00FE5E3B" w:rsidRDefault="00FE5E3B">
            <w:r>
              <w:t>-expansion of private/public partnerships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C804D5" w:rsidTr="00130442">
        <w:tc>
          <w:tcPr>
            <w:tcW w:w="4392" w:type="dxa"/>
          </w:tcPr>
          <w:p w:rsidR="00C804D5" w:rsidRDefault="00C804D5" w:rsidP="0013044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Support from Other Levels of Government</w:t>
            </w:r>
          </w:p>
          <w:p w:rsidR="00C804D5" w:rsidRPr="00220FD5" w:rsidRDefault="00C804D5" w:rsidP="00C804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804D5">
              <w:rPr>
                <w:rFonts w:cs="Times New Roman"/>
                <w:i/>
                <w:sz w:val="20"/>
                <w:szCs w:val="20"/>
              </w:rPr>
              <w:t>What actions</w:t>
            </w:r>
            <w:r w:rsidR="00AB1ECC">
              <w:rPr>
                <w:rFonts w:cs="Times New Roman"/>
                <w:i/>
                <w:sz w:val="20"/>
                <w:szCs w:val="20"/>
              </w:rPr>
              <w:t>, if any, could provincial and federal governments take to support municipalities</w:t>
            </w:r>
            <w:r w:rsidR="009F39CF">
              <w:rPr>
                <w:rFonts w:cs="Times New Roman"/>
                <w:i/>
                <w:sz w:val="20"/>
                <w:szCs w:val="20"/>
              </w:rPr>
              <w:t>? Policy changes, financial support etc.</w:t>
            </w:r>
          </w:p>
          <w:p w:rsidR="00220FD5" w:rsidRPr="00C804D5" w:rsidRDefault="00220FD5" w:rsidP="00220FD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6" w:type="dxa"/>
          </w:tcPr>
          <w:p w:rsidR="002E3F9E" w:rsidRDefault="002E3F9E"/>
          <w:p w:rsidR="002E3F9E" w:rsidRDefault="00FE5E3B">
            <w:r>
              <w:t>Putting supports into the social determinants of health to lessen the other vulnerabilities students face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  <w:b/>
              </w:rPr>
            </w:pPr>
            <w:r w:rsidRPr="00130442">
              <w:rPr>
                <w:rFonts w:cs="Times New Roman"/>
                <w:b/>
              </w:rPr>
              <w:t>Take-away messages from today’s discussion</w:t>
            </w:r>
          </w:p>
          <w:p w:rsidR="00130442" w:rsidRPr="00130442" w:rsidRDefault="00130442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Outline 2-3 key messages or take-away</w:t>
            </w:r>
            <w:r w:rsidR="00BB4B88">
              <w:rPr>
                <w:rFonts w:cs="Times New Roman"/>
                <w:i/>
                <w:sz w:val="20"/>
              </w:rPr>
              <w:t xml:space="preserve"> points (ie what should someone who missed the most need to hear?)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AE43ED">
            <w:r>
              <w:t xml:space="preserve">Partner with the private / social service sector. </w:t>
            </w:r>
          </w:p>
          <w:p w:rsidR="002E3F9E" w:rsidRDefault="00623256">
            <w:r>
              <w:t>Digital solutions</w:t>
            </w:r>
          </w:p>
          <w:p w:rsidR="00623256" w:rsidRDefault="00623256">
            <w:r>
              <w:t>Better Triage</w:t>
            </w:r>
          </w:p>
          <w:p w:rsidR="002E3F9E" w:rsidRDefault="00FE5E3B">
            <w:r>
              <w:t>Social determinants of health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</w:tbl>
    <w:p w:rsidR="00FB02E7" w:rsidRDefault="00FB02E7"/>
    <w:sectPr w:rsidR="00FB02E7" w:rsidSect="00FB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E7A"/>
    <w:multiLevelType w:val="hybridMultilevel"/>
    <w:tmpl w:val="1A688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03C6"/>
    <w:multiLevelType w:val="hybridMultilevel"/>
    <w:tmpl w:val="83FCFD54"/>
    <w:lvl w:ilvl="0" w:tplc="7D26AF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0F22"/>
    <w:multiLevelType w:val="hybridMultilevel"/>
    <w:tmpl w:val="480A0D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F6046"/>
    <w:multiLevelType w:val="hybridMultilevel"/>
    <w:tmpl w:val="003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130442"/>
    <w:rsid w:val="00203323"/>
    <w:rsid w:val="00220FD5"/>
    <w:rsid w:val="0025500F"/>
    <w:rsid w:val="00293919"/>
    <w:rsid w:val="002C251C"/>
    <w:rsid w:val="002C3E2F"/>
    <w:rsid w:val="002E3F9E"/>
    <w:rsid w:val="00321406"/>
    <w:rsid w:val="003A5746"/>
    <w:rsid w:val="003F6174"/>
    <w:rsid w:val="004B43BE"/>
    <w:rsid w:val="004C40AA"/>
    <w:rsid w:val="00516229"/>
    <w:rsid w:val="00532D45"/>
    <w:rsid w:val="005A27E4"/>
    <w:rsid w:val="00623256"/>
    <w:rsid w:val="0069654F"/>
    <w:rsid w:val="006A195F"/>
    <w:rsid w:val="006D1194"/>
    <w:rsid w:val="007B42D5"/>
    <w:rsid w:val="007B5C18"/>
    <w:rsid w:val="00802170"/>
    <w:rsid w:val="008674BE"/>
    <w:rsid w:val="008C52C9"/>
    <w:rsid w:val="00925843"/>
    <w:rsid w:val="00997D61"/>
    <w:rsid w:val="009B15C0"/>
    <w:rsid w:val="009F39CF"/>
    <w:rsid w:val="00A05034"/>
    <w:rsid w:val="00A258EB"/>
    <w:rsid w:val="00AB1ECC"/>
    <w:rsid w:val="00AC78BD"/>
    <w:rsid w:val="00AE43ED"/>
    <w:rsid w:val="00AF35FD"/>
    <w:rsid w:val="00B14518"/>
    <w:rsid w:val="00B943CF"/>
    <w:rsid w:val="00BB2991"/>
    <w:rsid w:val="00BB4B88"/>
    <w:rsid w:val="00BC0C79"/>
    <w:rsid w:val="00C24818"/>
    <w:rsid w:val="00C43066"/>
    <w:rsid w:val="00C804D5"/>
    <w:rsid w:val="00D369A2"/>
    <w:rsid w:val="00D61009"/>
    <w:rsid w:val="00E53CDB"/>
    <w:rsid w:val="00EA1A96"/>
    <w:rsid w:val="00EB5C84"/>
    <w:rsid w:val="00EB6280"/>
    <w:rsid w:val="00FB02E7"/>
    <w:rsid w:val="00FD2C5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B1B4-4A38-46EB-8C49-41A1DF4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F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B1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LeMessurier</dc:creator>
  <cp:lastModifiedBy>Microsoft Office User</cp:lastModifiedBy>
  <cp:revision>2</cp:revision>
  <dcterms:created xsi:type="dcterms:W3CDTF">2018-04-17T14:39:00Z</dcterms:created>
  <dcterms:modified xsi:type="dcterms:W3CDTF">2018-04-17T14:39:00Z</dcterms:modified>
</cp:coreProperties>
</file>